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  <w:bookmarkStart w:id="0" w:name="_Hlk67936629"/>
      <w:bookmarkStart w:id="1" w:name="_Hlk67936629"/>
      <w:bookmarkEnd w:id="1"/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b/>
          <w:bCs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b/>
          <w:bCs/>
          <w:sz w:val="28"/>
          <w:szCs w:val="28"/>
          <w:lang w:eastAsia="ko-KR"/>
        </w:rPr>
        <w:t>ПРОЕКТ</w:t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  <w:t xml:space="preserve">ПРИЛОЖЕНИЕ </w:t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  <w:t xml:space="preserve">к постановлению администрации </w:t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  <w:t xml:space="preserve">муниципального образования </w:t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  <w:t xml:space="preserve">Северский район </w:t>
      </w:r>
    </w:p>
    <w:p>
      <w:pPr>
        <w:pStyle w:val="Normal"/>
        <w:numPr>
          <w:ilvl w:val="0"/>
          <w:numId w:val="0"/>
        </w:numPr>
        <w:spacing w:before="0" w:after="0"/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  <w:t>от ____________ № ______</w:t>
      </w:r>
    </w:p>
    <w:p>
      <w:pPr>
        <w:pStyle w:val="Normal"/>
        <w:numPr>
          <w:ilvl w:val="0"/>
          <w:numId w:val="0"/>
        </w:numPr>
        <w:ind w:left="-108" w:right="-108"/>
        <w:jc w:val="center"/>
        <w:outlineLvl w:val="1"/>
        <w:rPr>
          <w:rFonts w:ascii="Times New Roman" w:hAnsi="Times New Roman" w:eastAsia="Batang" w:cs="Times New Roman"/>
          <w:sz w:val="28"/>
          <w:szCs w:val="28"/>
          <w:lang w:eastAsia="ko-KR"/>
        </w:rPr>
      </w:pPr>
      <w:r>
        <w:rPr>
          <w:rFonts w:eastAsia="Batang" w:cs="Times New Roman" w:ascii="Times New Roman" w:hAnsi="Times New Roman"/>
          <w:sz w:val="28"/>
          <w:szCs w:val="28"/>
          <w:lang w:eastAsia="ko-KR"/>
        </w:rPr>
      </w:r>
    </w:p>
    <w:p>
      <w:pPr>
        <w:pStyle w:val="Normal"/>
        <w:rPr/>
      </w:pPr>
      <w:r>
        <w:rPr/>
      </w:r>
    </w:p>
    <w:tbl>
      <w:tblPr>
        <w:tblW w:w="7655" w:type="dxa"/>
        <w:jc w:val="left"/>
        <w:tblInd w:w="17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77"/>
        <w:gridCol w:w="4677"/>
      </w:tblGrid>
      <w:tr>
        <w:trPr>
          <w:trHeight w:val="2104" w:hRule="atLeast"/>
        </w:trPr>
        <w:tc>
          <w:tcPr>
            <w:tcW w:w="2977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before="0" w:after="200"/>
              <w:jc w:val="center"/>
              <w:outlineLvl w:val="1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rFonts w:eastAsia="Batang"/>
                <w:sz w:val="28"/>
                <w:szCs w:val="28"/>
                <w:lang w:eastAsia="ko-KR"/>
              </w:rPr>
            </w:r>
          </w:p>
        </w:tc>
        <w:tc>
          <w:tcPr>
            <w:tcW w:w="4677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  <w:t>«ПРИЛОЖЕНИЕ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  <w:t>УТВЕРЖДЕНА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Северский район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24.10.2022 г. № 1973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1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00"/>
              <w:jc w:val="center"/>
              <w:outlineLvl w:val="1"/>
              <w:rPr>
                <w:rFonts w:ascii="Times New Roman" w:hAnsi="Times New Roman" w:eastAsia="Batang" w:cs="Times New Roman"/>
                <w:sz w:val="28"/>
                <w:szCs w:val="28"/>
                <w:lang w:eastAsia="ko-KR"/>
              </w:rPr>
            </w:pPr>
            <w:r>
              <w:rPr>
                <w:rFonts w:eastAsia="Batang" w:cs="Times New Roman" w:ascii="Times New Roman" w:hAnsi="Times New Roman"/>
                <w:sz w:val="28"/>
                <w:szCs w:val="28"/>
                <w:lang w:eastAsia="ko-KR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МУНИЦИПАЛЬНАЯ ПРОГРАММА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 СЕВЕРСКИЙ РАЙОН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«РАЗВИТИЕ КУЛЬТУРЫ» 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ПАСПОРТ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муниципальной программы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муниципального образования Северский район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«Развитие культуры»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pPr w:vertAnchor="text" w:horzAnchor="text" w:leftFromText="180" w:rightFromText="180" w:tblpX="0" w:tblpY="1"/>
        <w:tblOverlap w:val="never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17"/>
        <w:gridCol w:w="6921"/>
      </w:tblGrid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 муниципальной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«Развитие культуры» </w:t>
            </w:r>
            <w:bookmarkStart w:id="2" w:name="_GoBack"/>
            <w:bookmarkEnd w:id="2"/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Управление культуры администрации муниципального образования Северский район </w:t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муниципальной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>
        <w:trPr>
          <w:trHeight w:val="80" w:hRule="atLeast"/>
        </w:trPr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Иные исполнители отдельных мероприятий муниципальной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муниципальной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211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211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34115103"/>
            <w:r>
              <w:rPr>
                <w:rFonts w:cs="Times New Roman" w:ascii="Times New Roman" w:hAnsi="Times New Roman"/>
                <w:sz w:val="28"/>
                <w:szCs w:val="28"/>
              </w:rPr>
              <w:t>Развитие и реализация культурного и духовного потенциала каждой личности.</w:t>
            </w:r>
          </w:p>
          <w:p>
            <w:pPr>
              <w:pStyle w:val="211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34115103"/>
            <w:r>
              <w:rPr>
                <w:rFonts w:cs="Times New Roman" w:ascii="Times New Roman" w:hAnsi="Times New Roman"/>
                <w:sz w:val="28"/>
                <w:szCs w:val="28"/>
              </w:rPr>
              <w:t>Повышение эффективности муниципального управления в сфере культуры Северского района</w:t>
            </w:r>
            <w:bookmarkEnd w:id="4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. </w:t>
            </w:r>
          </w:p>
          <w:p>
            <w:pPr>
              <w:pStyle w:val="211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Создание условий для свободного, оперативного и равного доступа к информационным ресурсам и знаниям, развитие цифровых компетенций.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 и дополнительного образования Северского района.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34183583"/>
            <w:r>
              <w:rPr>
                <w:rFonts w:cs="Times New Roman" w:ascii="Times New Roman" w:hAnsi="Times New Roman"/>
                <w:sz w:val="28"/>
                <w:szCs w:val="28"/>
              </w:rPr>
              <w:t>Сохранение и развитие художественно-эстетического образования, чтения, творческих компетенций населения</w:t>
            </w:r>
            <w:bookmarkEnd w:id="5"/>
            <w:r>
              <w:rPr>
                <w:rFonts w:cs="Times New Roman" w:ascii="Times New Roman" w:hAnsi="Times New Roman"/>
                <w:sz w:val="28"/>
                <w:szCs w:val="28"/>
              </w:rPr>
              <w:t>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Сохранение и предотвращение утраты культурного наследия. 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5" w:hRule="atLeast"/>
        </w:trPr>
        <w:tc>
          <w:tcPr>
            <w:tcW w:w="2717" w:type="dxa"/>
            <w:vMerge w:val="restart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1.Увеличение количества библиографических записей в электронных каталогах муниципальных библиотек.  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2.Количество посещений занятий (репетиций) участниками клубных формирований (человек посещений). 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3.Количество методических мероприятий.</w:t>
            </w:r>
          </w:p>
          <w:p>
            <w:pPr>
              <w:pStyle w:val="ListParagraph"/>
              <w:spacing w:before="0" w:after="0"/>
              <w:ind w:left="0" w:right="-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4.Количество участников методических мероприятий.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5. Количество творческих мероприятий.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6.Число участников клубных формирований.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7.Охват населения библиотечным обслуживанием.</w:t>
            </w:r>
          </w:p>
        </w:tc>
      </w:tr>
      <w:tr>
        <w:trPr>
          <w:trHeight w:val="75" w:hRule="atLeast"/>
        </w:trPr>
        <w:tc>
          <w:tcPr>
            <w:tcW w:w="2717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8.Рост посещений мероприятий библиотек.</w:t>
            </w:r>
          </w:p>
        </w:tc>
      </w:tr>
      <w:tr>
        <w:trPr>
          <w:trHeight w:val="337" w:hRule="atLeast"/>
        </w:trPr>
        <w:tc>
          <w:tcPr>
            <w:tcW w:w="2717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9.Количество обучающихся.</w:t>
            </w:r>
          </w:p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10.Уровень удовлетворенности населения Северского района качеством предоставления муниципальных услуг в сфере культуры.</w:t>
            </w:r>
          </w:p>
        </w:tc>
      </w:tr>
      <w:tr>
        <w:trPr>
          <w:trHeight w:val="75" w:hRule="atLeast"/>
        </w:trPr>
        <w:tc>
          <w:tcPr>
            <w:tcW w:w="2717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5" w:hRule="atLeast"/>
        </w:trPr>
        <w:tc>
          <w:tcPr>
            <w:tcW w:w="2717" w:type="dxa"/>
            <w:vMerge w:val="continue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ListParagraph"/>
              <w:spacing w:before="0"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2024-2027 годы, этапы не предусмотрены</w:t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Объем бюджетных ассигнований, предусмотренный на реализацию муниципальной программы, составляет — 1 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136 278,2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руб., в том числе: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средства федерального бюджета – 4 844,9 тыс. руб., 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в том числе по годам: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2024 год – 4 024,3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2025 год – 400,0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2026 год –</w:t>
            </w:r>
            <w:r>
              <w:rPr>
                <w:rFonts w:cs="Times New Roman" w:ascii="Times New Roman" w:hAnsi="Times New Roman"/>
                <w:color w:val="FF0000"/>
                <w:spacing w:val="4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420,6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2027 год – 0,0 тыс. рублей.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средства краевого бюджета 1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15 271,3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руб., 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в том числе по годам: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2024 год – 12 187,8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2025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1 026,5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2026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  <w:shd w:fill="auto" w:val="clear"/>
              </w:rPr>
              <w:t>1 068,8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  <w:shd w:fill="auto" w:val="clear"/>
              </w:rPr>
              <w:t xml:space="preserve"> т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2027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988,2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рублей.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средства местного бюджета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1 016 162,0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руб., 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в том числе по годам: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2024 год – 229 689,8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2025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266 480,6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2026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259 432,3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рублей;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2027 год – 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>260 559,3</w:t>
            </w: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  <w:t xml:space="preserve"> тыс. рублей.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pacing w:val="4"/>
                <w:sz w:val="28"/>
                <w:szCs w:val="28"/>
              </w:rPr>
            </w:r>
          </w:p>
        </w:tc>
      </w:tr>
      <w:tr>
        <w:trPr/>
        <w:tc>
          <w:tcPr>
            <w:tcW w:w="2717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Контроль за выполнением муниципальной программы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921" w:type="dxa"/>
            <w:tcBorders/>
            <w:shd w:color="auto" w:fill="auto" w:val="clear"/>
          </w:tcPr>
          <w:p>
            <w:pPr>
              <w:pStyle w:val="Normal"/>
              <w:shd w:val="clear" w:color="auto" w:fill="FFFFFF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Управление культуры администрации муниципального образования Северский район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/>
      <w:r>
        <w:rPr>
          <w:rFonts w:cs="Times New Roman" w:ascii="Times New Roman" w:hAnsi="Times New Roman"/>
          <w:b/>
          <w:bCs/>
          <w:sz w:val="28"/>
          <w:szCs w:val="28"/>
        </w:rPr>
        <w:t>Характеристика текущего состояния и основные проблемы соответствующей сферы реализации муниципальной программы</w:t>
      </w:r>
    </w:p>
    <w:p>
      <w:pPr>
        <w:pStyle w:val="ListParagraph"/>
        <w:spacing w:before="0"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Муниципальная программа «Развитие культуры» на 2024-2027 годы направлена на реализацию государственной политики в сфере культуры, обеспечение устойчивого развития культурного потенциала Северского района как ресурса социально-экономического развития территории района. Муниципальная программа определяет приоритетные направления развития в области культуры на 2024-2027 годы и является базовым документом для разработки планов, программ и отдельных проектов в сфере культуры муниципальных учреждений культуры, учреждений дополнительного образования, творческих коллективов, претендующих на финансовую поддержку за счет средств муниципального бюджета.</w:t>
      </w:r>
    </w:p>
    <w:p>
      <w:pPr>
        <w:pStyle w:val="Consplusnonformat1"/>
        <w:tabs>
          <w:tab w:val="clear" w:pos="708"/>
          <w:tab w:val="left" w:pos="9498" w:leader="none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Сеть муниципальных учреждений, подведомственных управлению культуры администрации муниципального образования Северский район, представлена 21 библиотекой, входящими в МБУК МОСР «Межпоселенческая библиотека», 5 учреждениями дополнительного образования, районным организационно-методическим центром и МКУ МО Северский район «ЦБУК». Их деятельность способствует образованию и культурному развитию граждан. </w:t>
      </w:r>
    </w:p>
    <w:p>
      <w:pPr>
        <w:pStyle w:val="Normal"/>
        <w:tabs>
          <w:tab w:val="clear" w:pos="708"/>
          <w:tab w:val="left" w:pos="9498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зону ответственности МБУК МОСР «РОМЦ» входит координация и методическое обеспечение деятельности учреждений культуры Северского района, подготовка и проведение районных мероприятий, среди которых организация фестивалей и других мероприятий художественно-творческого характера, формирование и удовлетворение потребностей населения в сфере культурного досуга. </w:t>
      </w:r>
    </w:p>
    <w:p>
      <w:pPr>
        <w:pStyle w:val="Normal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МБУК МОСР «Межпоселенческая библиотека» имеет 21 структурную единицу и объединяет центральную районную библиотеку, центральную детскую библиотеку им. Ю.В.Сальникова, 3 поселковых,3 детских библиотеки и 13 сельских библиотек. Совокупный библиотечный фонд учреждения составляет более 341 тысячи экземпляров, книгообеспеченность населения Северского района составляет 2,7 экземпляра на одного жителя. Подключены к системе Интернет 21 библиотека, что составляет 100 процентов. </w:t>
      </w:r>
    </w:p>
    <w:p>
      <w:pPr>
        <w:pStyle w:val="Normal"/>
        <w:widowControl w:val="false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последние годы библиотеки в своей деятельности столкнулись с технологическими и общественными тенденциями: </w:t>
      </w:r>
    </w:p>
    <w:p>
      <w:pPr>
        <w:pStyle w:val="Normal"/>
        <w:widowControl w:val="false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бурное развитие IT-технологий, повлекшее за собой рост потоков информации, быстрое развитие способов ее производства и распространения, а также многообразие форматов ее использования;</w:t>
      </w:r>
    </w:p>
    <w:p>
      <w:pPr>
        <w:pStyle w:val="Normal"/>
        <w:widowControl w:val="false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переход страны на инновационную модель социально-экономического развития; усиление роли некоммерческого сектора в создании культурного продукта и оказании услуг в сфере культуры, а также появление новых форм партнерства;</w:t>
      </w:r>
    </w:p>
    <w:p>
      <w:pPr>
        <w:pStyle w:val="Normal"/>
        <w:widowControl w:val="false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передача ответственности за поддержку и развитие библиотек на региональный и муниципальный уровни</w:t>
      </w:r>
    </w:p>
    <w:p>
      <w:pPr>
        <w:pStyle w:val="Normal"/>
        <w:widowControl w:val="false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Хотя за последние годы прослеживается некоторая положительная динамика по укреплению материально-технической базы, требования к минимальному ресурсному обеспечению услуг, предоставляемых населению, библиотеки не выполняют. Библиотечные здания и помещения нуждаются в капитальном ремонте, обновлении библиотечным оборудованием, компьютерной техникой и др. Из-за слабой материально- технической базы ни одна библиотека не имеет достаточных показателей для включения в проект реализации Модельного Стандарта деятельности общедоступной библиотеки (далее – Стандарт). Уровень внедрения Стандарта в библиотеках района составляет 42,4 балла.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Полноценный доступ в сеть "Интернет" с установлением оптоволоконного оборудования имеют только 76 процентов библиотек, что серьезно тормозит развитие библиотек как информационных центров местного сообщества. Отставание библиотек в области развития информационно-коммуникативных и внедрения современных цифровых технологий не позволяют создать достаточно качественный уровень информационно-библиотечного обслуживания пользователей.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Северский район входит в число субъектов Краснодарского края с развитой системой дополнительного эстетического образования.  Участие в краевых программах на условиях софинансирования позволяет поддерживать учреждения, подведомственные управлению культуры, в рабочем состоянии, проводить ремонты и обновлять материально-техническую базу.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Национальным проектом «Культура» планируется: повысить количество участников любительских творческих коллективов, создать современные комфортные условия для пользователей библиотек, обеспечить пополнение библиотечных фондов, увеличить охват дополнительным эстетическим образованием, увеличить количество работников, прошедших повышение квалификации в сфере культуры, обеспечить внедрение цифровых технологий, повысить количество капитально отремонтированных объектов культуры, обеспечить детские школы искусств и художественную школу необходимыми инструментами, оборудованием и материалами. Создать (реконструировать) детские школы по видам искусств, центр культурного развития школы, а также выставочные пространства.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Создать условия для укрепления гражданской идентичности на основе духовно-нравственных и культурных ценностей народов Российской Федерации.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качества муниципальных услуг является одним из направлений</w:t>
      </w:r>
      <w:r>
        <w:rPr>
          <w:rFonts w:cs="Times New Roman" w:ascii="Times New Roman" w:hAnsi="Times New Roman"/>
          <w:bCs/>
          <w:sz w:val="28"/>
          <w:szCs w:val="28"/>
        </w:rPr>
        <w:t xml:space="preserve"> программы по повышению эффективности расходов местного бюджета в муниципальном образовании Северский район</w:t>
      </w:r>
      <w:r>
        <w:rPr>
          <w:rFonts w:cs="Times New Roman" w:ascii="Times New Roman" w:hAnsi="Times New Roman"/>
          <w:sz w:val="28"/>
          <w:szCs w:val="28"/>
        </w:rPr>
        <w:t>. Опыт показывает, что решение существующих проблем в сфере культуры, достижение поставленных целей и решение тактических задач должно идти с использованием программно-целевого метода, то есть путем реализации муниципальной программы, что обеспечивает высокий уровень эффективности использования бюджетных ресурсов  и оптимальную связь их объемов с достижением планируемых результатов.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6" w:name="_Hlk67936629"/>
      <w:bookmarkStart w:id="7" w:name="_Hlk67936629"/>
      <w:bookmarkEnd w:id="7"/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suppressAutoHyphens w:val="false"/>
        <w:spacing w:before="0" w:after="0"/>
        <w:ind w:hanging="360" w:left="720" w:right="-28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Цели, задачи и целевые показатели, сроки и этапы реализации муниципальной программы </w:t>
      </w:r>
    </w:p>
    <w:p>
      <w:pPr>
        <w:pStyle w:val="ListParagraph"/>
        <w:widowControl w:val="false"/>
        <w:shd w:val="clear" w:color="auto" w:fill="FFFFFF"/>
        <w:suppressAutoHyphens w:val="false"/>
        <w:spacing w:before="0" w:after="0"/>
        <w:ind w:left="720" w:right="-284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uppressAutoHyphens w:val="false"/>
        <w:spacing w:before="0" w:after="0"/>
        <w:ind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2.1. Основными целями муниципальной программы являются: </w:t>
      </w:r>
    </w:p>
    <w:p>
      <w:pPr>
        <w:pStyle w:val="Normal"/>
        <w:suppressAutoHyphens w:val="false"/>
        <w:spacing w:before="0" w:after="0"/>
        <w:ind w:firstLine="708" w:right="-1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</w:rPr>
        <w:t>развитие и реализация культурного и духовного потенциала каждой личности;</w:t>
      </w:r>
    </w:p>
    <w:p>
      <w:pPr>
        <w:pStyle w:val="Normal"/>
        <w:suppressAutoHyphens w:val="false"/>
        <w:spacing w:before="0" w:after="0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повышение эффективности муниципального управления в сфере культуры Северского района.</w:t>
      </w:r>
    </w:p>
    <w:p>
      <w:pPr>
        <w:pStyle w:val="Normal"/>
        <w:suppressAutoHyphens w:val="false"/>
        <w:spacing w:before="0" w:after="0"/>
        <w:ind w:firstLine="708" w:right="-284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Цели муниципальной программы способствуют:</w:t>
      </w:r>
    </w:p>
    <w:p>
      <w:pPr>
        <w:pStyle w:val="Normal"/>
        <w:suppressAutoHyphens w:val="false"/>
        <w:spacing w:before="0" w:after="0"/>
        <w:ind w:firstLine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обеспечению благоприятных условий для развития муниципальной сферы культуры и искусства, сохранения и совершенствования историко-культурного наследия;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созданию единого культурного пространства и обеспечение максимальной доступности услуг в сфере культуры;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созданию условий для повышения качества и разнообразия услуг, предоставляемых в сфере культуры;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обеспечению высокого качества дополнительного образования в соответствии с меняющимися запросами населения района и перспективными задачами развития экономики Северского района, Краснодарского края и России;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созданию в системе дополнительного образования равных возможностей для современного качественного образования и позитивной социализации детей;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формированию и развитию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Цели муниципальной программы увязаны с целью стратегии социально-экономического развития Краснодарского края до 2030 года и приоритетами государственной программы Российской Федерации «Развитие культуры».</w:t>
      </w:r>
    </w:p>
    <w:p>
      <w:pPr>
        <w:pStyle w:val="ListParagraph"/>
        <w:numPr>
          <w:ilvl w:val="1"/>
          <w:numId w:val="1"/>
        </w:numPr>
        <w:suppressAutoHyphens w:val="false"/>
        <w:spacing w:before="0" w:after="0"/>
        <w:ind w:firstLine="705" w:left="0" w:right="-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Мероприятия муниципальной программы будут направлены на решение следующих стратегических задач:</w:t>
      </w:r>
    </w:p>
    <w:p>
      <w:pPr>
        <w:pStyle w:val="Normal"/>
        <w:suppressAutoHyphens w:val="false"/>
        <w:spacing w:before="0" w:after="0"/>
        <w:ind w:firstLine="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условий для свободного, оперативного и равного доступа к информационным ресурсам и знаниям, развитие цифровых компетенций;</w:t>
      </w:r>
    </w:p>
    <w:p>
      <w:pPr>
        <w:pStyle w:val="Normal"/>
        <w:suppressAutoHyphens w:val="false"/>
        <w:spacing w:before="0" w:after="0"/>
        <w:ind w:firstLine="70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укрепление материально-технической базы учреждений культуры и дополнительного образования Северского района;</w:t>
      </w:r>
    </w:p>
    <w:p>
      <w:pPr>
        <w:pStyle w:val="Normal"/>
        <w:suppressAutoHyphens w:val="false"/>
        <w:spacing w:before="0" w:after="0"/>
        <w:ind w:firstLine="70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сохранение и развитие художественно-эстетического образования, чтения, творческих компетенций населения;</w:t>
      </w:r>
    </w:p>
    <w:p>
      <w:pPr>
        <w:pStyle w:val="Normal"/>
        <w:suppressAutoHyphens w:val="false"/>
        <w:spacing w:before="0" w:after="0"/>
        <w:ind w:left="705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сохранение и предотвращение утраты культурного наследия.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Решение стратегических задач позволит: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развить публичные муниципальные библиотеки как информационные, культурные и просветительские центры, востребованные населением и отвечающие современным запросам потребителей;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создать условия для удовлетворения гражданами своих культурных потребностей, развития местного традиционного народного творчества;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модернизировать муниципальные учреждения культуры, обеспечить безопасное и комфортное пребывание граждан;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сформировать гибкую систему непрерывного дополнительного образования, обеспечивающую текущие и перспективные образовательные запросы населения и потребности социально-экономического развития района;</w:t>
      </w:r>
    </w:p>
    <w:p>
      <w:pPr>
        <w:pStyle w:val="NoSpacing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развить сеть образовательных организаций, их инфраструктуру и учебно-материальную базу, обеспечивающую доступность качественных услуг дополнительного образования детей.</w:t>
      </w:r>
    </w:p>
    <w:p>
      <w:pPr>
        <w:pStyle w:val="Normal"/>
        <w:suppressAutoHyphens w:val="false"/>
        <w:spacing w:before="0" w:after="0"/>
        <w:ind w:right="-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2.3. Совокупность таких подходов обеспечивает программно-целевой метод. Применение программно-целевого метода для решения проблем отрасли культуры обеспечивает единство четко структурированной и сформулированной содержательной части муниципальной программы с созданием и использованием финансовых и организационных механизмов ее реализации, а также контролем за промежуточными и конечными результатами муниципальной программы.</w:t>
      </w:r>
    </w:p>
    <w:p>
      <w:pPr>
        <w:pStyle w:val="Normal"/>
        <w:suppressAutoHyphens w:val="false"/>
        <w:spacing w:before="0" w:after="0"/>
        <w:ind w:right="-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Муниципальная программа, разработанная на основе программно-целевого метода, представляет собой комплекс различных мероприятий, обеспечивающих достижение конкретных целей и решение задач в области культуры и дополнительного образования детей.</w:t>
      </w:r>
    </w:p>
    <w:p>
      <w:pPr>
        <w:pStyle w:val="Normal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Перечень целевых показателей и сроки их реализации </w:t>
      </w:r>
      <w:r>
        <w:rPr>
          <w:rFonts w:cs="Times New Roman" w:ascii="Times New Roman" w:hAnsi="Times New Roman"/>
          <w:sz w:val="28"/>
          <w:szCs w:val="28"/>
        </w:rPr>
        <w:t>приведены в приложении № 1 к муниципальной программе.</w:t>
      </w:r>
    </w:p>
    <w:p>
      <w:pPr>
        <w:pStyle w:val="ListParagraph"/>
        <w:widowControl w:val="false"/>
        <w:numPr>
          <w:ilvl w:val="1"/>
          <w:numId w:val="1"/>
        </w:numPr>
        <w:shd w:val="clear" w:color="auto" w:fill="FFFFFF"/>
        <w:suppressAutoHyphens w:val="false"/>
        <w:spacing w:before="0" w:after="0"/>
        <w:ind w:hanging="720" w:left="1425"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Сроки реализации муниципальной программы: 2024-2027 годы.</w:t>
      </w:r>
    </w:p>
    <w:p>
      <w:pPr>
        <w:pStyle w:val="Normal"/>
        <w:widowControl w:val="false"/>
        <w:shd w:val="clear" w:color="auto" w:fill="FFFFFF"/>
        <w:suppressAutoHyphens w:val="false"/>
        <w:spacing w:before="0" w:after="0"/>
        <w:ind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uppressAutoHyphens w:val="false"/>
        <w:spacing w:before="0" w:after="0"/>
        <w:ind w:right="-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uppressAutoHyphens w:val="false"/>
        <w:spacing w:before="0" w:after="0"/>
        <w:ind w:firstLine="567" w:right="-284"/>
        <w:jc w:val="both"/>
        <w:rPr/>
      </w:pPr>
      <w:r>
        <w:rPr/>
      </w:r>
    </w:p>
    <w:p>
      <w:pPr>
        <w:pStyle w:val="Normal"/>
        <w:shd w:val="clear" w:color="auto" w:fill="FFFFFF"/>
        <w:spacing w:before="0" w:after="0"/>
        <w:ind w:firstLine="72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</w:rPr>
        <w:t>3. Перечень основных мероприятий муниципальной программы</w:t>
      </w:r>
    </w:p>
    <w:p>
      <w:pPr>
        <w:pStyle w:val="Normal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основных мероприятий муниципальной программы приведен в приложении № 2 к муниципальной программе.</w:t>
      </w:r>
    </w:p>
    <w:p>
      <w:pPr>
        <w:pStyle w:val="Normal"/>
        <w:spacing w:before="0"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4. Методика оценки эффективности реализации</w:t>
      </w:r>
    </w:p>
    <w:p>
      <w:pPr>
        <w:pStyle w:val="Normal"/>
        <w:spacing w:before="0"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муниципальной программы</w:t>
      </w:r>
    </w:p>
    <w:p>
      <w:pPr>
        <w:pStyle w:val="Normal"/>
        <w:spacing w:before="0" w:after="0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Оценка эффективности реализации муниципальной программы проводится ежегодно. Результаты оценки эффективности реализации муниципальной программы предоставляются в форме ежегодного доклада о ходе реализации муниципальной программы.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Оценка эффективности муниципальной программы проводится в соответствии с «Типовой методикой оценки эффективности реализации муниципальной программы», утвержденной Постановлением администрации муниципального образования Северский район от 2 сентября 2021 года № 1691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Северский район».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Специфика целей, задач, основных мероприятий и результатов муниципальной программы такова, что некоторые из эффектов от ее реализации являются косвенными, опосредованными и относятся не только к развитию сфер культуры, но и к уровню и качеству жизни населения, развитию социальной сферы, экономики, общественной безопасности, государственных институтов.</w:t>
      </w:r>
    </w:p>
    <w:p>
      <w:pPr>
        <w:pStyle w:val="Normal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Механизм реализации муниципальной программы</w:t>
      </w:r>
    </w:p>
    <w:p>
      <w:pPr>
        <w:pStyle w:val="Normal"/>
        <w:spacing w:before="0" w:after="0"/>
        <w:ind w:left="135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- управление культуры администрации муниципального образования Северский район. Координатор муниципальной программы в процессе реализации муниципальной программы: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обеспечивает разработку муниципальной программы, её согласование с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соисполнителями, участниками муниципальной 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формирует структуру муниципальной программы и перечень соисполнителей, участников муниципальной программы;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>организует реализацию муниципальной программы, координацию деятельности соисполнителей, участников муниципальной 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принимает решение о внесении в установленном порядке изменений в муниципальную программу;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соисполнителей, участников муниципальной 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разрабатывает формы отчетности для соисполнителей и участников муниципальной программы, необходимые для проведения мониторинга реализации муниципальной программы, устанавливает сроки их предоставления;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осуществляет мониторинг и анализ отчетности, представляемой соисполнителями и участниками муниципальной 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ежегодно проводит оценку эффективности реализации муниципальной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программы;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готовит ежегодный доклад о ходе реализации муниципальной программы и оценке эффективности её реализации (далее – доклад о ходе реализации муниципальной программы);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Интернет и иных информационных ресурсах;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размещает информацию о ходе реализации, достигнутых результатах и изменениях, внесенных в муниципальную программу в государственной автоматизированной информационной системе «Управление» и иных информационных ресурсах в сроки, установленные действующим законодательством;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осуществляет иные полномочия, установленные муниципальной программой.</w:t>
      </w:r>
    </w:p>
    <w:p>
      <w:pPr>
        <w:pStyle w:val="Normal"/>
        <w:tabs>
          <w:tab w:val="clear" w:pos="708"/>
          <w:tab w:val="left" w:pos="9498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Ответственными исполнителями мероприятий муниципальной программы являются муниципальные бюджетные учреждения, находящиеся в ведении управления культуры администрации муниципального образования Северский район.</w:t>
      </w:r>
    </w:p>
    <w:p>
      <w:pPr>
        <w:pStyle w:val="Normal"/>
        <w:tabs>
          <w:tab w:val="clear" w:pos="708"/>
          <w:tab w:val="left" w:pos="1134" w:leader="none"/>
          <w:tab w:val="left" w:pos="9498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Исполнители мероприятий муниципальной программы несут ответственность за своевременную и полную реализацию программных мероприятий и за достижение утверждённых значений целевых индикаторов муниципальной программы.</w:t>
      </w:r>
    </w:p>
    <w:p>
      <w:pPr>
        <w:pStyle w:val="Normal"/>
        <w:tabs>
          <w:tab w:val="clear" w:pos="708"/>
          <w:tab w:val="left" w:pos="9498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Средства на реализацию мероприятий муниципальной программы направляются Исполнителям муниципальной программы в виде субсидий.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целях осуществления текущего контроля реализации мероприятий муниципальной программы ответственный исполнитель программы до 25-го июля текущего года, представляет в управление экономики, инвестиций и прогнозирования и финансовое управление администрации муниципального образования Северский район, отчет   об   объемах и источниках финансирования программы в разрезе мероприятий, за первое полугодие текущего года.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Ответственный исполнитель ежегодно, до 15 февраля года, следующего за отчетным годом, направляет в управление экономики, инвестиций и прогнозирования доклад о ходе реализации муниципальной программы на бумажных и электронных носителях.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eastAsia="Andale Sans UI" w:cs="Tahoma"/>
          <w:kern w:val="2"/>
          <w:sz w:val="24"/>
          <w:szCs w:val="24"/>
          <w:lang w:eastAsia="ru-RU"/>
        </w:rPr>
      </w:pPr>
      <w:r>
        <w:rPr>
          <w:rFonts w:eastAsia="Andale Sans UI" w:cs="Times New Roman" w:ascii="Times New Roman" w:hAnsi="Times New Roman"/>
          <w:kern w:val="2"/>
          <w:sz w:val="28"/>
          <w:szCs w:val="28"/>
          <w:lang w:eastAsia="ru-RU"/>
        </w:rPr>
        <w:t xml:space="preserve">Форма отчетности для соисполнителей и участников муниципальной программы (в случае их наличия), необходимая для проведения оценки эффективности муниципальной программы, мониторинга ее реализации, в том числе информация для подготовки годового отчета об итогах реализации муниципальной программы предоставляется в соответствии с </w:t>
      </w:r>
      <w:r>
        <w:rPr>
          <w:rFonts w:eastAsia="Times New Roman" w:cs="Times New Roman" w:ascii="Times New Roman" w:hAnsi="Times New Roman"/>
          <w:kern w:val="2"/>
          <w:sz w:val="28"/>
          <w:szCs w:val="28"/>
          <w:lang w:eastAsia="ru-RU"/>
        </w:rPr>
        <w:t xml:space="preserve">п.4.3., п.4.4. приложения к </w:t>
      </w:r>
      <w:r>
        <w:rPr>
          <w:rFonts w:eastAsia="Andale Sans UI" w:cs="Times New Roman" w:ascii="Times New Roman" w:hAnsi="Times New Roman"/>
          <w:kern w:val="2"/>
          <w:sz w:val="28"/>
          <w:szCs w:val="28"/>
          <w:lang w:eastAsia="ru-RU"/>
        </w:rPr>
        <w:t xml:space="preserve">постановлению администрации муниципального образования Северский район </w:t>
      </w:r>
      <w:r>
        <w:rPr>
          <w:rFonts w:cs="Times New Roman" w:ascii="Times New Roman" w:hAnsi="Times New Roman"/>
          <w:sz w:val="28"/>
          <w:szCs w:val="28"/>
        </w:rPr>
        <w:t xml:space="preserve">от 2 сентября 2021 года № 1691 </w:t>
      </w:r>
      <w:r>
        <w:rPr>
          <w:rFonts w:eastAsia="Andale Sans UI" w:cs="Times New Roman" w:ascii="Times New Roman" w:hAnsi="Times New Roman"/>
          <w:kern w:val="2"/>
          <w:sz w:val="28"/>
          <w:szCs w:val="28"/>
          <w:lang w:eastAsia="ru-RU"/>
        </w:rPr>
        <w:t>«Об утверждении Порядка принятия решения разработке, формировании, реализации и оценке эффективности реализации муниципальных программ муниципального образования Северский район».</w:t>
      </w:r>
    </w:p>
    <w:p>
      <w:pPr>
        <w:pStyle w:val="Normal"/>
        <w:tabs>
          <w:tab w:val="clear" w:pos="708"/>
          <w:tab w:val="left" w:pos="9498" w:leader="none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Контроль за ходом реализации муниципальной программы осуществляется управлением культуры администрации муниципального образования Северский район в соответствии с правовыми актами администрации муниципального образования Северский район.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культуры                                                     Г.В. Куралесина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391" w:top="448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nsultant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814638705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2"/>
      <w:isLgl/>
      <w:numFmt w:val="decimal"/>
      <w:lvlText w:val="%1.%2."/>
      <w:lvlJc w:val="left"/>
      <w:pPr>
        <w:tabs>
          <w:tab w:val="num" w:pos="0"/>
        </w:tabs>
        <w:ind w:left="1425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77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2475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82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3525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4230" w:hanging="180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4575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/>
    </w:lvl>
  </w:abstractNum>
  <w:abstractNum w:abstractNumId="2"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0285"/>
    <w:pPr>
      <w:widowControl/>
      <w:suppressAutoHyphens w:val="true"/>
      <w:bidi w:val="0"/>
      <w:spacing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шрифт абзаца3"/>
    <w:qFormat/>
    <w:rsid w:val="00a65028"/>
    <w:rPr/>
  </w:style>
  <w:style w:type="character" w:styleId="2" w:customStyle="1">
    <w:name w:val="Основной шрифт абзаца2"/>
    <w:qFormat/>
    <w:rsid w:val="00a65028"/>
    <w:rPr/>
  </w:style>
  <w:style w:type="character" w:styleId="WW8Num1z1" w:customStyle="1">
    <w:name w:val="WW8Num1z1"/>
    <w:qFormat/>
    <w:rsid w:val="00a65028"/>
    <w:rPr>
      <w:rFonts w:ascii="Courier New" w:hAnsi="Courier New" w:cs="Courier New"/>
    </w:rPr>
  </w:style>
  <w:style w:type="character" w:styleId="WW8Num1z2" w:customStyle="1">
    <w:name w:val="WW8Num1z2"/>
    <w:qFormat/>
    <w:rsid w:val="00a65028"/>
    <w:rPr>
      <w:rFonts w:ascii="Wingdings" w:hAnsi="Wingdings" w:cs="Wingdings"/>
    </w:rPr>
  </w:style>
  <w:style w:type="character" w:styleId="WW8Num1z3" w:customStyle="1">
    <w:name w:val="WW8Num1z3"/>
    <w:qFormat/>
    <w:rsid w:val="00a65028"/>
    <w:rPr>
      <w:rFonts w:ascii="Symbol" w:hAnsi="Symbol" w:cs="Symbol"/>
    </w:rPr>
  </w:style>
  <w:style w:type="character" w:styleId="WW8Num16z0" w:customStyle="1">
    <w:name w:val="WW8Num16z0"/>
    <w:qFormat/>
    <w:rsid w:val="00a65028"/>
    <w:rPr>
      <w:rFonts w:cs="Times New Roman"/>
    </w:rPr>
  </w:style>
  <w:style w:type="character" w:styleId="WW8Num17z0" w:customStyle="1">
    <w:name w:val="WW8Num17z0"/>
    <w:qFormat/>
    <w:rsid w:val="00a65028"/>
    <w:rPr>
      <w:rFonts w:ascii="Times New Roman" w:hAnsi="Times New Roman" w:cs="Times New Roman"/>
      <w:b w:val="false"/>
      <w:sz w:val="28"/>
      <w:szCs w:val="28"/>
    </w:rPr>
  </w:style>
  <w:style w:type="character" w:styleId="1" w:customStyle="1">
    <w:name w:val="Основной шрифт абзаца1"/>
    <w:qFormat/>
    <w:rsid w:val="00a65028"/>
    <w:rPr/>
  </w:style>
  <w:style w:type="character" w:styleId="Style14" w:customStyle="1">
    <w:name w:val="Верхний колонтитул Знак"/>
    <w:basedOn w:val="1"/>
    <w:uiPriority w:val="99"/>
    <w:qFormat/>
    <w:rsid w:val="00a65028"/>
    <w:rPr/>
  </w:style>
  <w:style w:type="character" w:styleId="31" w:customStyle="1">
    <w:name w:val="Основной текст с отступом 3 Знак"/>
    <w:qFormat/>
    <w:rsid w:val="00a65028"/>
    <w:rPr>
      <w:rFonts w:ascii="Times New Roman" w:hAnsi="Times New Roman" w:eastAsia="Times New Roman" w:cs="Times New Roman"/>
      <w:b/>
      <w:sz w:val="26"/>
      <w:szCs w:val="20"/>
    </w:rPr>
  </w:style>
  <w:style w:type="character" w:styleId="21" w:customStyle="1">
    <w:name w:val="Основной текст 2 Знак"/>
    <w:basedOn w:val="1"/>
    <w:qFormat/>
    <w:rsid w:val="00a65028"/>
    <w:rPr/>
  </w:style>
  <w:style w:type="character" w:styleId="PlaceholderText">
    <w:name w:val="Placeholder Text"/>
    <w:qFormat/>
    <w:rsid w:val="00a65028"/>
    <w:rPr>
      <w:color w:val="808080"/>
    </w:rPr>
  </w:style>
  <w:style w:type="character" w:styleId="Style15" w:customStyle="1">
    <w:name w:val="Текст выноски Знак"/>
    <w:qFormat/>
    <w:rsid w:val="00a65028"/>
    <w:rPr>
      <w:rFonts w:ascii="Tahoma" w:hAnsi="Tahoma" w:cs="Tahoma"/>
      <w:sz w:val="16"/>
      <w:szCs w:val="16"/>
    </w:rPr>
  </w:style>
  <w:style w:type="character" w:styleId="HTML" w:customStyle="1">
    <w:name w:val="Стандартный HTML Знак"/>
    <w:qFormat/>
    <w:rsid w:val="00a65028"/>
    <w:rPr>
      <w:rFonts w:ascii="Courier New" w:hAnsi="Courier New" w:eastAsia="Times New Roman" w:cs="Courier New"/>
      <w:sz w:val="20"/>
      <w:szCs w:val="20"/>
    </w:rPr>
  </w:style>
  <w:style w:type="character" w:styleId="Hyperlink">
    <w:name w:val="Hyperlink"/>
    <w:rsid w:val="00a65028"/>
    <w:rPr>
      <w:color w:val="0000FF"/>
      <w:u w:val="single"/>
    </w:rPr>
  </w:style>
  <w:style w:type="character" w:styleId="Style16" w:customStyle="1">
    <w:name w:val="Нижний колонтитул Знак"/>
    <w:uiPriority w:val="99"/>
    <w:qFormat/>
    <w:rsid w:val="00a65028"/>
    <w:rPr>
      <w:rFonts w:ascii="Calibri" w:hAnsi="Calibri" w:eastAsia="Calibri" w:cs="Calibri"/>
      <w:sz w:val="22"/>
      <w:szCs w:val="22"/>
    </w:rPr>
  </w:style>
  <w:style w:type="character" w:styleId="Style17" w:customStyle="1">
    <w:name w:val="Символ нумерации"/>
    <w:qFormat/>
    <w:rsid w:val="00a65028"/>
    <w:rPr/>
  </w:style>
  <w:style w:type="character" w:styleId="Linenumber">
    <w:name w:val="line number"/>
    <w:basedOn w:val="DefaultParagraphFont"/>
    <w:uiPriority w:val="99"/>
    <w:semiHidden/>
    <w:unhideWhenUsed/>
    <w:qFormat/>
    <w:rsid w:val="00e27dff"/>
    <w:rPr/>
  </w:style>
  <w:style w:type="character" w:styleId="Style18" w:customStyle="1">
    <w:name w:val="Название Знак"/>
    <w:qFormat/>
    <w:rsid w:val="00b65bf2"/>
    <w:rPr>
      <w:sz w:val="28"/>
      <w:szCs w:val="28"/>
    </w:rPr>
  </w:style>
  <w:style w:type="character" w:styleId="Style19" w:customStyle="1">
    <w:name w:val="Заголовок Знак"/>
    <w:basedOn w:val="DefaultParagraphFont"/>
    <w:uiPriority w:val="10"/>
    <w:qFormat/>
    <w:rsid w:val="00b65bf2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  <w:lang w:eastAsia="ar-SA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a65028"/>
    <w:pPr>
      <w:spacing w:before="0" w:after="120"/>
    </w:pPr>
    <w:rPr/>
  </w:style>
  <w:style w:type="paragraph" w:styleId="List">
    <w:name w:val="List"/>
    <w:basedOn w:val="BodyText"/>
    <w:rsid w:val="00a65028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1"/>
    <w:basedOn w:val="Normal"/>
    <w:next w:val="BodyText"/>
    <w:qFormat/>
    <w:rsid w:val="00a65028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32" w:customStyle="1">
    <w:name w:val="Название3"/>
    <w:basedOn w:val="Normal"/>
    <w:qFormat/>
    <w:rsid w:val="00a6502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3" w:customStyle="1">
    <w:name w:val="Указатель3"/>
    <w:basedOn w:val="Normal"/>
    <w:qFormat/>
    <w:rsid w:val="00a65028"/>
    <w:pPr>
      <w:suppressLineNumbers/>
    </w:pPr>
    <w:rPr>
      <w:rFonts w:cs="Mangal"/>
    </w:rPr>
  </w:style>
  <w:style w:type="paragraph" w:styleId="22" w:customStyle="1">
    <w:name w:val="Название2"/>
    <w:basedOn w:val="Normal"/>
    <w:qFormat/>
    <w:rsid w:val="00a6502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3" w:customStyle="1">
    <w:name w:val="Указатель2"/>
    <w:basedOn w:val="Normal"/>
    <w:qFormat/>
    <w:rsid w:val="00a65028"/>
    <w:pPr>
      <w:suppressLineNumbers/>
    </w:pPr>
    <w:rPr>
      <w:rFonts w:cs="Mangal"/>
    </w:rPr>
  </w:style>
  <w:style w:type="paragraph" w:styleId="12" w:customStyle="1">
    <w:name w:val="Название1"/>
    <w:basedOn w:val="Normal"/>
    <w:qFormat/>
    <w:rsid w:val="00a6502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a65028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a65028"/>
    <w:pPr>
      <w:ind w:left="720"/>
    </w:pPr>
    <w:rPr/>
  </w:style>
  <w:style w:type="paragraph" w:styleId="ConsPlusNormal" w:customStyle="1">
    <w:name w:val="ConsPlusNormal"/>
    <w:qFormat/>
    <w:rsid w:val="00a65028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ar-SA" w:val="ru-RU" w:bidi="ar-SA"/>
    </w:rPr>
  </w:style>
  <w:style w:type="paragraph" w:styleId="Style22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rsid w:val="00a65028"/>
    <w:pPr>
      <w:spacing w:before="0" w:after="0"/>
    </w:pPr>
    <w:rPr/>
  </w:style>
  <w:style w:type="paragraph" w:styleId="ConsNormal" w:customStyle="1">
    <w:name w:val="ConsNormal"/>
    <w:qFormat/>
    <w:rsid w:val="00a65028"/>
    <w:pPr>
      <w:widowControl/>
      <w:suppressAutoHyphens w:val="true"/>
      <w:bidi w:val="0"/>
      <w:spacing w:before="0" w:after="0"/>
      <w:ind w:firstLine="720"/>
      <w:jc w:val="left"/>
    </w:pPr>
    <w:rPr>
      <w:rFonts w:ascii="Consultant" w:hAnsi="Consultant" w:cs="Consultant" w:eastAsia="Times New Roman"/>
      <w:color w:val="auto"/>
      <w:kern w:val="0"/>
      <w:sz w:val="24"/>
      <w:szCs w:val="20"/>
      <w:lang w:eastAsia="ar-SA" w:val="ru-RU" w:bidi="ar-SA"/>
    </w:rPr>
  </w:style>
  <w:style w:type="paragraph" w:styleId="311" w:customStyle="1">
    <w:name w:val="Основной текст с отступом 31"/>
    <w:basedOn w:val="Normal"/>
    <w:qFormat/>
    <w:rsid w:val="00a65028"/>
    <w:pPr>
      <w:spacing w:before="0" w:after="0"/>
      <w:ind w:firstLine="567" w:right="-285"/>
      <w:jc w:val="both"/>
    </w:pPr>
    <w:rPr>
      <w:rFonts w:ascii="Times New Roman" w:hAnsi="Times New Roman" w:eastAsia="Times New Roman" w:cs="Times New Roman"/>
      <w:b/>
      <w:sz w:val="26"/>
      <w:szCs w:val="20"/>
    </w:rPr>
  </w:style>
  <w:style w:type="paragraph" w:styleId="ConsPlusNonformat" w:customStyle="1">
    <w:name w:val="ConsPlusNonformat"/>
    <w:qFormat/>
    <w:rsid w:val="00a65028"/>
    <w:pPr>
      <w:widowControl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ar-SA" w:val="ru-RU" w:bidi="ar-SA"/>
    </w:rPr>
  </w:style>
  <w:style w:type="paragraph" w:styleId="Consplusnormal1" w:customStyle="1">
    <w:name w:val="consplusnormal1"/>
    <w:qFormat/>
    <w:rsid w:val="00a65028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eastAsia="ar-SA" w:val="ru-RU" w:bidi="ar-SA"/>
    </w:rPr>
  </w:style>
  <w:style w:type="paragraph" w:styleId="Consplusnonformat1" w:customStyle="1">
    <w:name w:val="consplusnonformat1"/>
    <w:qFormat/>
    <w:rsid w:val="00a65028"/>
    <w:pPr>
      <w:widowControl/>
      <w:suppressAutoHyphens w:val="tru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eastAsia="ar-SA" w:val="ru-RU" w:bidi="ar-SA"/>
    </w:rPr>
  </w:style>
  <w:style w:type="paragraph" w:styleId="Standard" w:customStyle="1">
    <w:name w:val="Standard"/>
    <w:qFormat/>
    <w:rsid w:val="00a65028"/>
    <w:pPr>
      <w:widowControl w:val="false"/>
      <w:tabs>
        <w:tab w:val="left" w:pos="708" w:leader="none"/>
      </w:tabs>
      <w:suppressAutoHyphens w:val="true"/>
      <w:bidi w:val="0"/>
      <w:spacing w:lineRule="atLeast" w:line="100" w:before="0" w:after="0"/>
      <w:jc w:val="left"/>
      <w:textAlignment w:val="baseline"/>
    </w:pPr>
    <w:rPr>
      <w:rFonts w:eastAsia="SimSun" w:cs="Mangal" w:ascii="Times New Roman" w:hAnsi="Times New Roman"/>
      <w:color w:val="00000A"/>
      <w:kern w:val="2"/>
      <w:sz w:val="24"/>
      <w:szCs w:val="24"/>
      <w:lang w:eastAsia="hi-IN" w:bidi="hi-IN" w:val="ru-RU"/>
    </w:rPr>
  </w:style>
  <w:style w:type="paragraph" w:styleId="211" w:customStyle="1">
    <w:name w:val="Основной текст 21"/>
    <w:basedOn w:val="Normal"/>
    <w:qFormat/>
    <w:rsid w:val="00a65028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a65028"/>
    <w:pPr>
      <w:spacing w:before="0" w:after="0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qFormat/>
    <w:rsid w:val="00a65028"/>
    <w:pPr>
      <w:spacing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23" w:customStyle="1">
    <w:name w:val="Содержимое таблицы"/>
    <w:basedOn w:val="Normal"/>
    <w:qFormat/>
    <w:rsid w:val="00a65028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a65028"/>
    <w:pPr>
      <w:jc w:val="center"/>
    </w:pPr>
    <w:rPr>
      <w:b/>
      <w:bCs/>
    </w:rPr>
  </w:style>
  <w:style w:type="paragraph" w:styleId="Footer">
    <w:name w:val="Footer"/>
    <w:basedOn w:val="Normal"/>
    <w:uiPriority w:val="99"/>
    <w:rsid w:val="00a650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itle">
    <w:name w:val="Title"/>
    <w:basedOn w:val="Normal"/>
    <w:next w:val="Normal"/>
    <w:link w:val="Style19"/>
    <w:uiPriority w:val="10"/>
    <w:qFormat/>
    <w:rsid w:val="00b65bf2"/>
    <w:pPr>
      <w:spacing w:before="0" w:after="0"/>
      <w:contextualSpacing/>
    </w:pPr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oSpacing">
    <w:name w:val="No Spacing"/>
    <w:uiPriority w:val="1"/>
    <w:qFormat/>
    <w:rsid w:val="00ae601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ar-SA" w:val="ru-RU" w:bidi="ar-SA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b6150f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8245-2E7E-4D8F-9EE5-0A360F3D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LibreOffice/24.2.0.3$Windows_X86_64 LibreOffice_project/da48488a73ddd66ea24cf16bbc4f7b9c08e9bea1</Application>
  <AppVersion>15.0000</AppVersion>
  <Pages>9</Pages>
  <Words>1931</Words>
  <Characters>15755</Characters>
  <CharactersWithSpaces>17669</CharactersWithSpaces>
  <Paragraphs>150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2024-09-25T08:59:00Z</dcterms:created>
  <dc:creator>Comp</dc:creator>
  <dc:description/>
  <dc:language>ru-RU</dc:language>
  <cp:lastModifiedBy/>
  <cp:lastPrinted>2024-08-06T06:48:00Z</cp:lastPrinted>
  <dcterms:modified xsi:type="dcterms:W3CDTF">2024-11-15T12:04:12Z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